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178E4" w14:textId="77777777" w:rsidR="00BF4654" w:rsidRDefault="00BF4654" w:rsidP="00BF4654">
      <w:pPr>
        <w:rPr>
          <w:color w:val="1F497D"/>
        </w:rPr>
      </w:pPr>
      <w:r>
        <w:rPr>
          <w:color w:val="1F497D"/>
        </w:rPr>
        <w:t>Во вложении направляем Вам наши ответы на вопросы, поставленные Минфином РФ в Докладе для общественных консультаций на тему: «Обязательное подтверждение отчетности (информации) в Российской Федерации».</w:t>
      </w:r>
    </w:p>
    <w:p w14:paraId="2E07861D" w14:textId="77777777" w:rsidR="00BF4654" w:rsidRDefault="00BF4654" w:rsidP="00BF4654">
      <w:pPr>
        <w:rPr>
          <w:rFonts w:ascii="Times New Roman" w:hAnsi="Times New Roman" w:cs="Times New Roman"/>
          <w:color w:val="1F497D"/>
          <w:sz w:val="24"/>
          <w:szCs w:val="24"/>
        </w:rPr>
      </w:pPr>
    </w:p>
    <w:p w14:paraId="71B0E4B8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b/>
          <w:bCs/>
          <w:color w:val="2A3143"/>
        </w:rPr>
        <w:t>ВОПРОСЫ ДЛЯ ОБЩЕСТВЕННЫХ КОНСУЛЬТАЦИЙ</w:t>
      </w:r>
    </w:p>
    <w:p w14:paraId="2A434D0C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С целью подготовки предложений по совершенствованию сферы обязательного подтверждения отчетности (информации), в том числе корректировки перечня случаев такого подтверждения, на общественные консультации выносятся следующие основные вопросы.</w:t>
      </w:r>
    </w:p>
    <w:p w14:paraId="72EF95E8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1. 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</w:r>
    </w:p>
    <w:p w14:paraId="6C56C93C" w14:textId="77777777" w:rsidR="00BF4654" w:rsidRDefault="00BF4654" w:rsidP="00BF4654">
      <w:pPr>
        <w:pStyle w:val="a5"/>
      </w:pPr>
      <w:r>
        <w:t>Согласны.</w:t>
      </w:r>
    </w:p>
    <w:p w14:paraId="5872E8A0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4B531645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2. Поддерживаете ли Вы следующие общие принципы установления случаев обязательного подтверждения отчетности (информации):</w:t>
      </w:r>
    </w:p>
    <w:p w14:paraId="4D8A2E3B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наличие достаточно широкого круга пользователей предмета подтверждения;</w:t>
      </w:r>
    </w:p>
    <w:p w14:paraId="491C6D1E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заинтересованность пользователей предмета подтверждения в достоверности предмета подтверждения;</w:t>
      </w:r>
    </w:p>
    <w:p w14:paraId="6292F003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отсутствие у пользователей предмета подтверждения возможности, в том числе права и (или) компетенции, вынести собственное суждение о достоверности этого предмета;</w:t>
      </w:r>
    </w:p>
    <w:p w14:paraId="3A0E944F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разумной величине затрат на проведение подтверждения отчетности (информации) (баланс выгод и затрат);</w:t>
      </w:r>
    </w:p>
    <w:p w14:paraId="5C5C5FC8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наличие возможности проверить качество проведения подтверждения отчетности (информации)?</w:t>
      </w:r>
    </w:p>
    <w:p w14:paraId="5ED367A0" w14:textId="77777777" w:rsidR="00BF4654" w:rsidRDefault="00BF4654" w:rsidP="00BF4654">
      <w:pPr>
        <w:pStyle w:val="a5"/>
      </w:pPr>
      <w:r>
        <w:t xml:space="preserve">Приведенные общие принципы являются достаточно размытыми и требуют детализации и конкретизации. </w:t>
      </w:r>
    </w:p>
    <w:p w14:paraId="6F3B5B82" w14:textId="77777777" w:rsidR="00BF4654" w:rsidRDefault="00BF4654" w:rsidP="00BF4654">
      <w:pPr>
        <w:pStyle w:val="a5"/>
      </w:pPr>
      <w:r>
        <w:t xml:space="preserve">Надо обратить внимание, что дело не в широком круге. Финансовая отчетность используется государством для формирования статистических данных. Если большое количество субъектов хозяйственной деятельности будет выведено из поля обязательного аудита, это неизбежно скажется на качестве статистических данных. </w:t>
      </w:r>
    </w:p>
    <w:p w14:paraId="53328A21" w14:textId="77777777" w:rsidR="00BF4654" w:rsidRDefault="00BF4654" w:rsidP="00BF4654">
      <w:pPr>
        <w:pStyle w:val="a5"/>
      </w:pPr>
      <w:r>
        <w:t>Необходимо формировать культуру заинтересованности в достоверности отчетности у пользователей (собственников/их представителей). Сокращение количества субъектов, подлежащих обязательному аудиту, не приведет к повышению качества аудита и формированию заинтересованности пользователей.</w:t>
      </w:r>
    </w:p>
    <w:p w14:paraId="54E9F039" w14:textId="77777777" w:rsidR="00BF4654" w:rsidRDefault="00BF4654" w:rsidP="00BF4654">
      <w:pPr>
        <w:pStyle w:val="a5"/>
      </w:pPr>
    </w:p>
    <w:p w14:paraId="2DB1AB8D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3. 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</w:r>
    </w:p>
    <w:p w14:paraId="140F08D5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1FD2873B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4. 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</w:r>
    </w:p>
    <w:p w14:paraId="6A9AB095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4B752F47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5. 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</w:r>
    </w:p>
    <w:p w14:paraId="69A386E4" w14:textId="77777777" w:rsidR="00BF4654" w:rsidRDefault="00BF4654" w:rsidP="00BF4654">
      <w:pPr>
        <w:pStyle w:val="a5"/>
      </w:pPr>
      <w:r>
        <w:lastRenderedPageBreak/>
        <w:t xml:space="preserve">Не согласны. Общественная значимость должна налагать дополнительные требования при </w:t>
      </w:r>
      <w:proofErr w:type="gramStart"/>
      <w:r>
        <w:t>том</w:t>
      </w:r>
      <w:proofErr w:type="gramEnd"/>
      <w:r>
        <w:t xml:space="preserve"> что под обязательное подтверждение отчетности должен подпадать более широкий круг лиц.</w:t>
      </w:r>
    </w:p>
    <w:p w14:paraId="417AB956" w14:textId="77777777" w:rsidR="00BF4654" w:rsidRDefault="00BF4654" w:rsidP="00BF4654">
      <w:pPr>
        <w:pStyle w:val="a5"/>
      </w:pPr>
    </w:p>
    <w:p w14:paraId="1C24F049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6. 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</w:r>
    </w:p>
    <w:p w14:paraId="5022E467" w14:textId="77777777" w:rsidR="00BF4654" w:rsidRDefault="00BF4654" w:rsidP="00BF4654">
      <w:pPr>
        <w:pStyle w:val="a5"/>
      </w:pPr>
      <w:r>
        <w:t>С учетом нашей позиции по вопросу 5, нам представляется необходимым определение как критериев общественной значимости аудируемых лиц, так и критериев для обязательного подтверждения отчетности. Например, масштабы деятельности аудируемого лица, по нашему мнению, следует отнести не к критерию общественной значимости, а к критерию обязательности подтверждения отчетности.</w:t>
      </w:r>
    </w:p>
    <w:p w14:paraId="65A132FC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742DD924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7. Какие критерии общественной значимости аудируемых лиц, приведенные в вопросе 6, представляются Вам лишними или неверными?</w:t>
      </w:r>
    </w:p>
    <w:p w14:paraId="1DF033FD" w14:textId="77777777" w:rsidR="00BF4654" w:rsidRDefault="00BF4654" w:rsidP="00BF4654">
      <w:pPr>
        <w:pStyle w:val="a5"/>
      </w:pPr>
      <w:r>
        <w:t>Комментарии по данному вопросу изложены в предыдущем пункте.</w:t>
      </w:r>
    </w:p>
    <w:p w14:paraId="230738C5" w14:textId="77777777" w:rsidR="00BF4654" w:rsidRDefault="00BF4654" w:rsidP="00BF4654">
      <w:pPr>
        <w:pStyle w:val="a5"/>
      </w:pPr>
    </w:p>
    <w:p w14:paraId="67199875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8. Какие критерии общественной значимости аудируемых лиц Вы могли бы предложить в дополнение к приведенным в вопросе 6?</w:t>
      </w:r>
    </w:p>
    <w:p w14:paraId="5BFAB7DD" w14:textId="77777777" w:rsidR="00BF4654" w:rsidRDefault="00BF4654" w:rsidP="00BF4654">
      <w:pPr>
        <w:pStyle w:val="a5"/>
      </w:pPr>
      <w:r>
        <w:t xml:space="preserve">В предлагаемых критериях отсутствует явное отнесение к общественно значимым организаций, имеющих стратегическое значение для обеспечения обороны страны и безопасности государства, что представляется крайне важным. </w:t>
      </w:r>
    </w:p>
    <w:p w14:paraId="3C6C80B0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2991ACE4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9. 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</w:r>
    </w:p>
    <w:p w14:paraId="54A26F35" w14:textId="77777777" w:rsidR="00BF4654" w:rsidRDefault="00BF4654" w:rsidP="00BF4654">
      <w:pPr>
        <w:pStyle w:val="a5"/>
      </w:pPr>
      <w:r>
        <w:t>Мы считаем обоснованными и в целом достаточными. Наше предложение по дополнению приведено в п. 11.</w:t>
      </w:r>
    </w:p>
    <w:p w14:paraId="76912FEC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3AE8719D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10. 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</w:r>
    </w:p>
    <w:p w14:paraId="025B57B3" w14:textId="77777777" w:rsidR="00BF4654" w:rsidRDefault="00BF4654" w:rsidP="00BF4654">
      <w:pPr>
        <w:pStyle w:val="a5"/>
      </w:pPr>
      <w:r>
        <w:t>Мы считаем предусмотренные случаи обоснованными.</w:t>
      </w:r>
    </w:p>
    <w:p w14:paraId="05402255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0871C21E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11. 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</w:r>
    </w:p>
    <w:p w14:paraId="0F30BBF4" w14:textId="77777777" w:rsidR="00BF4654" w:rsidRDefault="00BF4654" w:rsidP="00BF4654">
      <w:pPr>
        <w:pStyle w:val="a5"/>
      </w:pPr>
      <w:r>
        <w:t>По нашему мнению, целесообразно включить в случаи обязательного аудита аудит бухгалтерской отчетности Государственных и муниципальных унитарных предприятий.</w:t>
      </w:r>
    </w:p>
    <w:p w14:paraId="5BA739A9" w14:textId="77777777" w:rsidR="00BF4654" w:rsidRDefault="00BF4654" w:rsidP="00BF4654">
      <w:pPr>
        <w:pStyle w:val="a5"/>
      </w:pPr>
    </w:p>
    <w:p w14:paraId="395C0048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12. 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</w:r>
    </w:p>
    <w:p w14:paraId="1983959D" w14:textId="77777777" w:rsidR="00BF4654" w:rsidRDefault="00BF4654" w:rsidP="00BF4654">
      <w:pPr>
        <w:pStyle w:val="a5"/>
      </w:pPr>
      <w:r>
        <w:t xml:space="preserve">По нашему мнению, иные формы, в т.ч. приведенные в докладе, не могут заменить аудит. </w:t>
      </w:r>
    </w:p>
    <w:p w14:paraId="680F5823" w14:textId="77777777" w:rsidR="00BF4654" w:rsidRDefault="00BF4654" w:rsidP="00BF4654">
      <w:pPr>
        <w:pStyle w:val="a5"/>
      </w:pPr>
    </w:p>
    <w:p w14:paraId="2FB52815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13. 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</w:r>
    </w:p>
    <w:p w14:paraId="53CF80A6" w14:textId="77777777" w:rsidR="00BF4654" w:rsidRDefault="00BF4654" w:rsidP="00BF4654">
      <w:pPr>
        <w:pStyle w:val="a5"/>
      </w:pPr>
      <w:r>
        <w:t>Мы считаем обоснованными и в целом достаточными. Наше предложение по дополнению приведено в п. 15.</w:t>
      </w:r>
    </w:p>
    <w:p w14:paraId="5A874408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1249DE0C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lastRenderedPageBreak/>
        <w:t>14. 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</w:r>
    </w:p>
    <w:p w14:paraId="36D81E7E" w14:textId="77777777" w:rsidR="00BF4654" w:rsidRDefault="00BF4654" w:rsidP="00BF4654">
      <w:pPr>
        <w:pStyle w:val="a5"/>
      </w:pPr>
      <w:r>
        <w:t>Мы считаем предусмотренные случаи обоснованными.</w:t>
      </w:r>
    </w:p>
    <w:p w14:paraId="1C16A117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</w:p>
    <w:p w14:paraId="2B2EB69D" w14:textId="77777777" w:rsidR="00BF4654" w:rsidRDefault="00BF4654" w:rsidP="00BF4654">
      <w:pPr>
        <w:pStyle w:val="a4"/>
        <w:shd w:val="clear" w:color="auto" w:fill="FFFFFF"/>
        <w:spacing w:before="0" w:beforeAutospacing="0" w:after="0" w:afterAutospacing="0"/>
        <w:rPr>
          <w:rFonts w:ascii="Formular" w:hAnsi="Formular"/>
          <w:color w:val="2A3143"/>
        </w:rPr>
      </w:pPr>
      <w:r>
        <w:rPr>
          <w:rFonts w:ascii="Formular" w:hAnsi="Formular"/>
          <w:color w:val="2A3143"/>
        </w:rPr>
        <w:t>15. 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</w:r>
    </w:p>
    <w:p w14:paraId="3A2074E9" w14:textId="77777777" w:rsidR="00BF4654" w:rsidRDefault="00BF4654" w:rsidP="00BF4654">
      <w:pPr>
        <w:pStyle w:val="a5"/>
      </w:pPr>
      <w:r>
        <w:t>Мы бы предложили обзорные проверки промежуточной бухгалтерской отчетности за первое полугодие, подготавливаемой в соответствии с правилами составления бухгалтерской отчетности, установленными в Российской Федерации, применимыми при подготовке промежуточной бухгалтерской отчетности,</w:t>
      </w:r>
    </w:p>
    <w:p w14:paraId="0A31DA40" w14:textId="77777777" w:rsidR="00BF4654" w:rsidRDefault="00BF4654" w:rsidP="00BF4654">
      <w:pPr>
        <w:pStyle w:val="a5"/>
      </w:pPr>
      <w:r>
        <w:t>организаций, ценные бумаги которых допущены к организованным торгам.</w:t>
      </w:r>
    </w:p>
    <w:p w14:paraId="358E874B" w14:textId="77777777" w:rsidR="00BF4654" w:rsidRDefault="00BF4654" w:rsidP="00BF4654">
      <w:pPr>
        <w:rPr>
          <w:color w:val="1F497D"/>
        </w:rPr>
      </w:pPr>
    </w:p>
    <w:p w14:paraId="37E90B02" w14:textId="77777777" w:rsidR="00BF4654" w:rsidRDefault="00BF4654" w:rsidP="00BF4654">
      <w:pPr>
        <w:rPr>
          <w:color w:val="1F497D"/>
        </w:rPr>
      </w:pPr>
    </w:p>
    <w:p w14:paraId="02581F80" w14:textId="77777777" w:rsidR="00BF4654" w:rsidRDefault="00BF4654" w:rsidP="00BF4654">
      <w:pPr>
        <w:rPr>
          <w:rFonts w:ascii="Arial" w:hAnsi="Arial" w:cs="Arial"/>
          <w:color w:val="1F497D"/>
          <w:sz w:val="20"/>
          <w:szCs w:val="20"/>
          <w:lang w:eastAsia="ru-RU"/>
        </w:rPr>
      </w:pPr>
      <w:r>
        <w:rPr>
          <w:rFonts w:ascii="Arial" w:hAnsi="Arial" w:cs="Arial"/>
          <w:color w:val="1F497D"/>
          <w:sz w:val="20"/>
          <w:szCs w:val="20"/>
          <w:lang w:eastAsia="ru-RU"/>
        </w:rPr>
        <w:t>С уважением,</w:t>
      </w:r>
    </w:p>
    <w:p w14:paraId="09BD27D4" w14:textId="77777777" w:rsidR="00BF4654" w:rsidRDefault="00BF4654" w:rsidP="00BF4654">
      <w:pPr>
        <w:rPr>
          <w:rFonts w:ascii="Arial" w:hAnsi="Arial" w:cs="Arial"/>
          <w:color w:val="1F497D"/>
          <w:sz w:val="20"/>
          <w:szCs w:val="20"/>
          <w:lang w:eastAsia="ru-RU"/>
        </w:rPr>
      </w:pPr>
      <w:r>
        <w:rPr>
          <w:rFonts w:ascii="Arial" w:hAnsi="Arial" w:cs="Arial"/>
          <w:color w:val="1F497D"/>
          <w:sz w:val="20"/>
          <w:szCs w:val="20"/>
          <w:lang w:eastAsia="ru-RU"/>
        </w:rPr>
        <w:t xml:space="preserve">Евгения </w:t>
      </w:r>
      <w:proofErr w:type="spellStart"/>
      <w:r>
        <w:rPr>
          <w:rFonts w:ascii="Arial" w:hAnsi="Arial" w:cs="Arial"/>
          <w:color w:val="1F497D"/>
          <w:sz w:val="20"/>
          <w:szCs w:val="20"/>
          <w:lang w:eastAsia="ru-RU"/>
        </w:rPr>
        <w:t>Лабинская</w:t>
      </w:r>
      <w:proofErr w:type="spellEnd"/>
      <w:r>
        <w:rPr>
          <w:rFonts w:ascii="Arial" w:hAnsi="Arial" w:cs="Arial"/>
          <w:color w:val="1F497D"/>
          <w:sz w:val="20"/>
          <w:szCs w:val="20"/>
          <w:lang w:eastAsia="ru-RU"/>
        </w:rPr>
        <w:t>,</w:t>
      </w:r>
    </w:p>
    <w:p w14:paraId="38AD9795" w14:textId="77777777" w:rsidR="00BF4654" w:rsidRDefault="00BF4654" w:rsidP="00BF4654">
      <w:pPr>
        <w:rPr>
          <w:rFonts w:ascii="Arial" w:hAnsi="Arial" w:cs="Arial"/>
          <w:color w:val="1F497D"/>
          <w:sz w:val="20"/>
          <w:szCs w:val="20"/>
          <w:lang w:eastAsia="ru-RU"/>
        </w:rPr>
      </w:pPr>
      <w:r>
        <w:rPr>
          <w:rFonts w:ascii="Arial" w:hAnsi="Arial" w:cs="Arial"/>
          <w:color w:val="1F497D"/>
          <w:sz w:val="20"/>
          <w:szCs w:val="20"/>
          <w:lang w:eastAsia="ru-RU"/>
        </w:rPr>
        <w:t>Личный помощник исполнительного директора</w:t>
      </w:r>
    </w:p>
    <w:p w14:paraId="769CF600" w14:textId="77777777" w:rsidR="00BF4654" w:rsidRDefault="00BF4654" w:rsidP="00BF4654">
      <w:pPr>
        <w:rPr>
          <w:rFonts w:ascii="Arial" w:hAnsi="Arial" w:cs="Arial"/>
          <w:color w:val="1F497D"/>
          <w:sz w:val="20"/>
          <w:szCs w:val="20"/>
          <w:lang w:eastAsia="ru-RU"/>
        </w:rPr>
      </w:pPr>
      <w:bookmarkStart w:id="0" w:name="_GoBack"/>
      <w:r>
        <w:rPr>
          <w:rFonts w:ascii="Arial" w:hAnsi="Arial" w:cs="Arial"/>
          <w:color w:val="1F497D"/>
          <w:sz w:val="20"/>
          <w:szCs w:val="20"/>
          <w:lang w:eastAsia="ru-RU"/>
        </w:rPr>
        <w:t xml:space="preserve">АО "Эйч Эл Би </w:t>
      </w:r>
      <w:proofErr w:type="spellStart"/>
      <w:r>
        <w:rPr>
          <w:rFonts w:ascii="Arial" w:hAnsi="Arial" w:cs="Arial"/>
          <w:color w:val="1F497D"/>
          <w:sz w:val="20"/>
          <w:szCs w:val="20"/>
          <w:lang w:eastAsia="ru-RU"/>
        </w:rPr>
        <w:t>Внешаудит</w:t>
      </w:r>
      <w:proofErr w:type="spellEnd"/>
      <w:r>
        <w:rPr>
          <w:rFonts w:ascii="Arial" w:hAnsi="Arial" w:cs="Arial"/>
          <w:color w:val="1F497D"/>
          <w:sz w:val="20"/>
          <w:szCs w:val="20"/>
          <w:lang w:eastAsia="ru-RU"/>
        </w:rPr>
        <w:t>"</w:t>
      </w:r>
    </w:p>
    <w:bookmarkEnd w:id="0"/>
    <w:p w14:paraId="7E964878" w14:textId="77777777" w:rsidR="00BF4654" w:rsidRDefault="00BF4654" w:rsidP="00BF4654">
      <w:pPr>
        <w:rPr>
          <w:rFonts w:ascii="Arial" w:hAnsi="Arial" w:cs="Arial"/>
          <w:color w:val="1F497D"/>
          <w:sz w:val="20"/>
          <w:szCs w:val="20"/>
          <w:lang w:eastAsia="ru-RU"/>
        </w:rPr>
      </w:pPr>
      <w:r>
        <w:rPr>
          <w:rFonts w:ascii="Arial" w:hAnsi="Arial" w:cs="Arial"/>
          <w:color w:val="1F497D"/>
          <w:sz w:val="20"/>
          <w:szCs w:val="20"/>
          <w:lang w:eastAsia="ru-RU"/>
        </w:rPr>
        <w:t>Тел.: +7 (495) 967-04-96, факс: +7 (495) 967-04-97</w:t>
      </w:r>
    </w:p>
    <w:p w14:paraId="66672824" w14:textId="77777777" w:rsidR="00BF4654" w:rsidRDefault="00BF4654" w:rsidP="00BF4654">
      <w:pPr>
        <w:rPr>
          <w:rFonts w:ascii="Arial" w:hAnsi="Arial" w:cs="Arial"/>
          <w:color w:val="1F497D"/>
          <w:sz w:val="20"/>
          <w:szCs w:val="20"/>
          <w:u w:val="single"/>
          <w:lang w:eastAsia="ru-RU"/>
        </w:rPr>
      </w:pPr>
      <w:r>
        <w:rPr>
          <w:rFonts w:ascii="Arial" w:hAnsi="Arial" w:cs="Arial"/>
          <w:color w:val="1F497D"/>
          <w:sz w:val="20"/>
          <w:szCs w:val="20"/>
          <w:lang w:eastAsia="ru-RU"/>
        </w:rPr>
        <w:t>Почта:</w:t>
      </w:r>
      <w:r>
        <w:rPr>
          <w:rFonts w:ascii="Arial" w:hAnsi="Arial" w:cs="Arial"/>
          <w:color w:val="365F91"/>
          <w:sz w:val="20"/>
          <w:szCs w:val="20"/>
          <w:lang w:eastAsia="ru-RU"/>
        </w:rPr>
        <w:t xml:space="preserve"> </w:t>
      </w:r>
      <w:hyperlink r:id="rId4" w:history="1">
        <w:r>
          <w:rPr>
            <w:rStyle w:val="a3"/>
            <w:rFonts w:ascii="Arial" w:hAnsi="Arial" w:cs="Arial"/>
            <w:color w:val="0000FF"/>
            <w:sz w:val="20"/>
            <w:szCs w:val="20"/>
            <w:lang w:val="en-US" w:eastAsia="ru-RU"/>
          </w:rPr>
          <w:t>assistant</w:t>
        </w:r>
        <w:r>
          <w:rPr>
            <w:rStyle w:val="a3"/>
            <w:rFonts w:ascii="Arial" w:hAnsi="Arial" w:cs="Arial"/>
            <w:color w:val="0000FF"/>
            <w:sz w:val="20"/>
            <w:szCs w:val="20"/>
            <w:lang w:eastAsia="ru-RU"/>
          </w:rPr>
          <w:t>@</w:t>
        </w:r>
        <w:proofErr w:type="spellStart"/>
        <w:r>
          <w:rPr>
            <w:rStyle w:val="a3"/>
            <w:rFonts w:ascii="Arial" w:hAnsi="Arial" w:cs="Arial"/>
            <w:color w:val="0000FF"/>
            <w:sz w:val="20"/>
            <w:szCs w:val="20"/>
            <w:lang w:val="en-US" w:eastAsia="ru-RU"/>
          </w:rPr>
          <w:t>vneshaudit</w:t>
        </w:r>
        <w:proofErr w:type="spellEnd"/>
        <w:r>
          <w:rPr>
            <w:rStyle w:val="a3"/>
            <w:rFonts w:ascii="Arial" w:hAnsi="Arial" w:cs="Arial"/>
            <w:color w:val="0000FF"/>
            <w:sz w:val="20"/>
            <w:szCs w:val="20"/>
            <w:lang w:eastAsia="ru-RU"/>
          </w:rPr>
          <w:t>.</w:t>
        </w:r>
        <w:proofErr w:type="spellStart"/>
        <w:r>
          <w:rPr>
            <w:rStyle w:val="a3"/>
            <w:rFonts w:ascii="Arial" w:hAnsi="Arial" w:cs="Arial"/>
            <w:color w:val="0000FF"/>
            <w:sz w:val="20"/>
            <w:szCs w:val="20"/>
            <w:lang w:val="en-US" w:eastAsia="ru-RU"/>
          </w:rPr>
          <w:t>ru</w:t>
        </w:r>
        <w:proofErr w:type="spellEnd"/>
      </w:hyperlink>
    </w:p>
    <w:p w14:paraId="1E7BD35C" w14:textId="77777777" w:rsidR="00BF4654" w:rsidRDefault="00BF4654" w:rsidP="00BF4654">
      <w:pPr>
        <w:rPr>
          <w:rFonts w:ascii="Arial" w:hAnsi="Arial" w:cs="Arial"/>
          <w:color w:val="1F497D"/>
          <w:sz w:val="20"/>
          <w:szCs w:val="20"/>
          <w:lang w:val="en-US" w:eastAsia="ru-RU"/>
        </w:rPr>
      </w:pPr>
      <w:r>
        <w:rPr>
          <w:rFonts w:ascii="Arial" w:hAnsi="Arial" w:cs="Arial"/>
          <w:color w:val="1F497D"/>
          <w:sz w:val="20"/>
          <w:szCs w:val="20"/>
          <w:lang w:eastAsia="ru-RU"/>
        </w:rPr>
        <w:t xml:space="preserve">Сайт: </w:t>
      </w:r>
      <w:hyperlink r:id="rId5" w:history="1">
        <w:r>
          <w:rPr>
            <w:rStyle w:val="a3"/>
            <w:rFonts w:ascii="Arial" w:hAnsi="Arial" w:cs="Arial"/>
            <w:color w:val="0000FF"/>
            <w:sz w:val="20"/>
            <w:szCs w:val="20"/>
            <w:lang w:val="en-US" w:eastAsia="ru-RU"/>
          </w:rPr>
          <w:t>www.vneshaudit.ru</w:t>
        </w:r>
      </w:hyperlink>
    </w:p>
    <w:p w14:paraId="0F682194" w14:textId="2313FED6" w:rsidR="00BF4654" w:rsidRDefault="00BF4654" w:rsidP="00BF4654">
      <w:pPr>
        <w:rPr>
          <w:color w:val="1F497D"/>
          <w:lang w:eastAsia="ru-RU"/>
        </w:rPr>
      </w:pPr>
      <w:r>
        <w:rPr>
          <w:noProof/>
          <w:color w:val="1F497D"/>
          <w:lang w:eastAsia="ru-RU"/>
        </w:rPr>
        <w:drawing>
          <wp:inline distT="0" distB="0" distL="0" distR="0" wp14:anchorId="33E2BD35" wp14:editId="4D111308">
            <wp:extent cx="1455420" cy="259080"/>
            <wp:effectExtent l="0" t="0" r="0" b="7620"/>
            <wp:docPr id="1" name="Рисунок 1" descr="for_mail_m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or_mail_min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7D9DF" w14:textId="77777777" w:rsidR="008D4A8B" w:rsidRDefault="008D4A8B"/>
    <w:sectPr w:rsidR="008D4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rmular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63"/>
    <w:rsid w:val="002D3963"/>
    <w:rsid w:val="008D4A8B"/>
    <w:rsid w:val="00BF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7D585-D95E-40E8-B4F0-D78C69D35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4654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4654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BF465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F465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1.jpg@01D8F829.B8839B9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vneshaudit.ru/" TargetMode="External"/><Relationship Id="rId4" Type="http://schemas.openxmlformats.org/officeDocument/2006/relationships/hyperlink" Target="mailto:assistant@vneshaudi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5719</Characters>
  <Application>Microsoft Office Word</Application>
  <DocSecurity>0</DocSecurity>
  <Lines>47</Lines>
  <Paragraphs>13</Paragraphs>
  <ScaleCrop>false</ScaleCrop>
  <Company>SROAAS</Company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М. Жарова</dc:creator>
  <cp:keywords/>
  <dc:description/>
  <cp:lastModifiedBy>Светлана М. Жарова</cp:lastModifiedBy>
  <cp:revision>2</cp:revision>
  <dcterms:created xsi:type="dcterms:W3CDTF">2022-11-14T11:06:00Z</dcterms:created>
  <dcterms:modified xsi:type="dcterms:W3CDTF">2022-11-14T11:06:00Z</dcterms:modified>
</cp:coreProperties>
</file>